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</w:tblGrid>
      <w:tr w:rsidR="007B462B" w:rsidTr="00D04221">
        <w:trPr>
          <w:jc w:val="right"/>
        </w:trPr>
        <w:tc>
          <w:tcPr>
            <w:tcW w:w="4541" w:type="dxa"/>
          </w:tcPr>
          <w:p w:rsidR="007B462B" w:rsidRDefault="00E30E6C" w:rsidP="00D0422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7B462B" w:rsidRDefault="00E30E6C" w:rsidP="00D04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приказом</w:t>
            </w:r>
            <w:r w:rsidR="007B462B" w:rsidRPr="00B52F4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A4032">
              <w:rPr>
                <w:rFonts w:ascii="Times New Roman" w:hAnsi="Times New Roman"/>
                <w:bCs/>
                <w:sz w:val="28"/>
                <w:szCs w:val="28"/>
              </w:rPr>
              <w:t xml:space="preserve">Министерства спорта </w:t>
            </w:r>
          </w:p>
          <w:p w:rsidR="007B462B" w:rsidRPr="00B52F44" w:rsidRDefault="007B462B" w:rsidP="00D04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Кабардино-Балкарской Республики</w:t>
            </w:r>
          </w:p>
          <w:p w:rsidR="007B462B" w:rsidRPr="00B52F44" w:rsidRDefault="007B462B" w:rsidP="00D042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52F44">
              <w:rPr>
                <w:rFonts w:ascii="Times New Roman" w:hAnsi="Times New Roman"/>
                <w:bCs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="00011A08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  <w:r w:rsidR="002C379E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  <w:r w:rsidR="00011A08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="002C379E">
              <w:rPr>
                <w:rFonts w:ascii="Times New Roman" w:hAnsi="Times New Roman"/>
                <w:bCs/>
                <w:sz w:val="28"/>
                <w:szCs w:val="28"/>
              </w:rPr>
              <w:t>_ноября</w:t>
            </w:r>
            <w:r w:rsidR="00011A08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  <w:r w:rsidRPr="00B52F44">
              <w:rPr>
                <w:rFonts w:ascii="Times New Roman" w:hAnsi="Times New Roman"/>
                <w:bCs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52F44">
              <w:rPr>
                <w:rFonts w:ascii="Times New Roman" w:hAnsi="Times New Roman"/>
                <w:bCs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r w:rsidR="002C379E">
              <w:rPr>
                <w:rFonts w:ascii="Times New Roman" w:hAnsi="Times New Roman"/>
                <w:bCs/>
                <w:sz w:val="28"/>
                <w:szCs w:val="28"/>
              </w:rPr>
              <w:t>145/1</w:t>
            </w:r>
            <w:bookmarkStart w:id="0" w:name="_GoBack"/>
            <w:bookmarkEnd w:id="0"/>
          </w:p>
          <w:p w:rsidR="00011A08" w:rsidRDefault="00011A08" w:rsidP="00E30E6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A6BAB" w:rsidRDefault="009A6BAB" w:rsidP="00D0422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7B462B" w:rsidRPr="000C2C07" w:rsidRDefault="007B462B" w:rsidP="007B4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21"/>
      <w:bookmarkEnd w:id="1"/>
      <w:r w:rsidRPr="000C2C07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7B462B" w:rsidRDefault="007B462B" w:rsidP="007B46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о</w:t>
      </w:r>
      <w:r w:rsidRPr="00E25945">
        <w:rPr>
          <w:rFonts w:ascii="Times New Roman" w:hAnsi="Times New Roman"/>
          <w:b/>
          <w:sz w:val="28"/>
          <w:szCs w:val="20"/>
          <w:lang w:eastAsia="ru-RU"/>
        </w:rPr>
        <w:t xml:space="preserve">б организации системы внутреннего обеспечения соответствия требованиям антимонопольного законодательства в </w:t>
      </w:r>
      <w:r w:rsidR="009A4032">
        <w:rPr>
          <w:rFonts w:ascii="Times New Roman" w:hAnsi="Times New Roman"/>
          <w:b/>
          <w:sz w:val="28"/>
          <w:szCs w:val="20"/>
          <w:lang w:eastAsia="ru-RU"/>
        </w:rPr>
        <w:t>Министерстве спорта</w:t>
      </w:r>
      <w:r w:rsidRPr="00E25945">
        <w:rPr>
          <w:rFonts w:ascii="Times New Roman" w:hAnsi="Times New Roman"/>
          <w:b/>
          <w:sz w:val="28"/>
          <w:szCs w:val="20"/>
          <w:lang w:eastAsia="ru-RU"/>
        </w:rPr>
        <w:t xml:space="preserve"> Кабардино-Балкарской Республики</w:t>
      </w:r>
    </w:p>
    <w:p w:rsidR="007B462B" w:rsidRPr="006B04D7" w:rsidRDefault="007B462B" w:rsidP="007B462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(антимонопольного комплаенса)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1. Общие положения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1.1. Настоящее Положение разработано во исполнение </w:t>
      </w:r>
      <w:hyperlink r:id="rId6" w:history="1">
        <w:r w:rsidRPr="000C2C07">
          <w:rPr>
            <w:rFonts w:ascii="Times New Roman" w:hAnsi="Times New Roman"/>
            <w:bCs/>
            <w:sz w:val="28"/>
            <w:szCs w:val="28"/>
          </w:rPr>
          <w:t>Указа</w:t>
        </w:r>
      </w:hyperlink>
      <w:r w:rsidRPr="00B52F44">
        <w:rPr>
          <w:rFonts w:ascii="Times New Roman" w:hAnsi="Times New Roman"/>
          <w:bCs/>
          <w:sz w:val="28"/>
          <w:szCs w:val="28"/>
        </w:rPr>
        <w:t xml:space="preserve"> Президента Российской Федерации от 21 декабря 2017 г. </w:t>
      </w:r>
      <w:r>
        <w:rPr>
          <w:rFonts w:ascii="Times New Roman" w:hAnsi="Times New Roman"/>
          <w:bCs/>
          <w:sz w:val="28"/>
          <w:szCs w:val="28"/>
        </w:rPr>
        <w:t>№</w:t>
      </w:r>
      <w:r w:rsidRPr="00B52F44">
        <w:rPr>
          <w:rFonts w:ascii="Times New Roman" w:hAnsi="Times New Roman"/>
          <w:bCs/>
          <w:sz w:val="28"/>
          <w:szCs w:val="28"/>
        </w:rPr>
        <w:t xml:space="preserve"> 618 </w:t>
      </w:r>
      <w:r w:rsidR="00613CBF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Об основных направлениях государственной политики по развитию конкуренции</w:t>
      </w:r>
      <w:r>
        <w:rPr>
          <w:rFonts w:ascii="Times New Roman" w:hAnsi="Times New Roman"/>
          <w:bCs/>
          <w:sz w:val="28"/>
          <w:szCs w:val="28"/>
        </w:rPr>
        <w:t>»,</w:t>
      </w:r>
      <w:r w:rsidRPr="00B52F44">
        <w:rPr>
          <w:rFonts w:ascii="Times New Roman" w:hAnsi="Times New Roman"/>
          <w:bCs/>
          <w:sz w:val="28"/>
          <w:szCs w:val="28"/>
        </w:rPr>
        <w:t xml:space="preserve"> в соответствии с распоряжени</w:t>
      </w:r>
      <w:r>
        <w:rPr>
          <w:rFonts w:ascii="Times New Roman" w:hAnsi="Times New Roman"/>
          <w:bCs/>
          <w:sz w:val="28"/>
          <w:szCs w:val="28"/>
        </w:rPr>
        <w:t xml:space="preserve">ем </w:t>
      </w:r>
      <w:r w:rsidRPr="00B52F44">
        <w:rPr>
          <w:rFonts w:ascii="Times New Roman" w:hAnsi="Times New Roman"/>
          <w:bCs/>
          <w:sz w:val="28"/>
          <w:szCs w:val="28"/>
        </w:rPr>
        <w:t xml:space="preserve">Правительства Российской Федерации от 18 октября 2018 г. </w:t>
      </w:r>
      <w:hyperlink r:id="rId7" w:history="1">
        <w:r>
          <w:rPr>
            <w:rFonts w:ascii="Times New Roman" w:hAnsi="Times New Roman"/>
            <w:bCs/>
            <w:sz w:val="28"/>
            <w:szCs w:val="28"/>
          </w:rPr>
          <w:t>№</w:t>
        </w:r>
      </w:hyperlink>
      <w:r w:rsidRPr="000C2C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2258-р </w:t>
      </w:r>
      <w:r w:rsidRPr="000C2C07">
        <w:rPr>
          <w:rFonts w:ascii="Times New Roman" w:hAnsi="Times New Roman"/>
          <w:bCs/>
          <w:sz w:val="28"/>
          <w:szCs w:val="28"/>
        </w:rPr>
        <w:t xml:space="preserve">и определяет порядок внутреннего обеспечения соответствия требованиям </w:t>
      </w:r>
      <w:r w:rsidRPr="00B52F44">
        <w:rPr>
          <w:rFonts w:ascii="Times New Roman" w:hAnsi="Times New Roman"/>
          <w:bCs/>
          <w:sz w:val="28"/>
          <w:szCs w:val="28"/>
        </w:rPr>
        <w:t xml:space="preserve">антимонопольного законодательства в </w:t>
      </w:r>
      <w:r w:rsidR="009A4032">
        <w:rPr>
          <w:rFonts w:ascii="Times New Roman" w:hAnsi="Times New Roman"/>
          <w:bCs/>
          <w:sz w:val="28"/>
          <w:szCs w:val="28"/>
        </w:rPr>
        <w:t>Министерстве спорта</w:t>
      </w:r>
      <w:r w:rsidR="00613CBF">
        <w:rPr>
          <w:rFonts w:ascii="Times New Roman" w:hAnsi="Times New Roman"/>
          <w:bCs/>
          <w:sz w:val="28"/>
          <w:szCs w:val="28"/>
        </w:rPr>
        <w:t xml:space="preserve"> Кабардино-Балкарской Республики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(далее соответственно - антимонопольный комплаенс, </w:t>
      </w:r>
      <w:r w:rsidR="009A4032">
        <w:rPr>
          <w:rFonts w:ascii="Times New Roman" w:hAnsi="Times New Roman"/>
          <w:bCs/>
          <w:sz w:val="28"/>
          <w:szCs w:val="28"/>
        </w:rPr>
        <w:t>Министерство</w:t>
      </w:r>
      <w:r w:rsidRPr="00B52F44">
        <w:rPr>
          <w:rFonts w:ascii="Times New Roman" w:hAnsi="Times New Roman"/>
          <w:bCs/>
          <w:sz w:val="28"/>
          <w:szCs w:val="28"/>
        </w:rPr>
        <w:t>).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1.2. Для целей Положения используются следующие понятия:</w:t>
      </w: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антимонопольное законодательство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законодательство, основывающееся на </w:t>
      </w:r>
      <w:hyperlink r:id="rId8" w:history="1">
        <w:r w:rsidRPr="000C2C07">
          <w:rPr>
            <w:rFonts w:ascii="Times New Roman" w:hAnsi="Times New Roman"/>
            <w:bCs/>
            <w:sz w:val="28"/>
            <w:szCs w:val="28"/>
          </w:rPr>
          <w:t>Конституции</w:t>
        </w:r>
      </w:hyperlink>
      <w:r w:rsidRPr="000C2C07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Российской Федерации, Гражданском </w:t>
      </w:r>
      <w:hyperlink r:id="rId9" w:history="1">
        <w:r w:rsidRPr="000C2C07">
          <w:rPr>
            <w:rFonts w:ascii="Times New Roman" w:hAnsi="Times New Roman"/>
            <w:bCs/>
            <w:sz w:val="28"/>
            <w:szCs w:val="28"/>
          </w:rPr>
          <w:t>кодексе</w:t>
        </w:r>
      </w:hyperlink>
      <w:r w:rsidRPr="00B52F44">
        <w:rPr>
          <w:rFonts w:ascii="Times New Roman" w:hAnsi="Times New Roman"/>
          <w:bCs/>
          <w:sz w:val="28"/>
          <w:szCs w:val="28"/>
        </w:rPr>
        <w:t xml:space="preserve"> Российской Федерации и состоящее из Федерального </w:t>
      </w:r>
      <w:hyperlink r:id="rId10" w:history="1">
        <w:r w:rsidRPr="000C2C07">
          <w:rPr>
            <w:rFonts w:ascii="Times New Roman" w:hAnsi="Times New Roman"/>
            <w:bCs/>
            <w:sz w:val="28"/>
            <w:szCs w:val="28"/>
          </w:rPr>
          <w:t>закона</w:t>
        </w:r>
      </w:hyperlink>
      <w:r w:rsidRPr="000C2C07">
        <w:rPr>
          <w:rFonts w:ascii="Times New Roman" w:hAnsi="Times New Roman"/>
          <w:bCs/>
          <w:sz w:val="28"/>
          <w:szCs w:val="28"/>
        </w:rPr>
        <w:t xml:space="preserve"> </w:t>
      </w:r>
      <w:r w:rsidR="00613CBF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О защите конкуренции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, иных федеральных законов, регулирующих отношения, связанные с защитой конкуренции, в том числе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с предупреждением и пресечением монополистической деятельности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 указанных органов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антимонопольный комплаенс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- совокупность правовых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и организационных мер, направленных на соблюдение требований антимонопольного законодательства и предупреждение его нарушения;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антимонопольный орган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- федеральный антимонопольный орган и его территориальные органы;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доклад об антимонопольном комплаенсе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- документ, содержащий информацию об организации и функционировании антимонопольного комплаенса в </w:t>
      </w:r>
      <w:r w:rsidR="009A4032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>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13B8">
        <w:rPr>
          <w:rFonts w:ascii="Times New Roman" w:hAnsi="Times New Roman"/>
          <w:bCs/>
          <w:sz w:val="28"/>
          <w:szCs w:val="28"/>
        </w:rPr>
        <w:lastRenderedPageBreak/>
        <w:t>«коллегиальный орган» - совещательный орган, осуществляющий оценку эффективности антимонопольного комплаенса;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нарушение антимонопольного законодательства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- недопущение, ограничение, устранение конкуренции;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риски нарушения антимонопольного законодательства</w:t>
      </w:r>
      <w:r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-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3CBF">
        <w:rPr>
          <w:rFonts w:ascii="Times New Roman" w:hAnsi="Times New Roman"/>
          <w:bCs/>
          <w:sz w:val="28"/>
          <w:szCs w:val="28"/>
        </w:rPr>
        <w:t>«</w:t>
      </w:r>
      <w:r w:rsidR="00613CBF" w:rsidRPr="00613CBF">
        <w:rPr>
          <w:rFonts w:ascii="Times New Roman" w:hAnsi="Times New Roman"/>
          <w:bCs/>
          <w:sz w:val="28"/>
          <w:szCs w:val="28"/>
        </w:rPr>
        <w:t>ответственное лицо</w:t>
      </w:r>
      <w:r w:rsidRPr="00613CBF">
        <w:rPr>
          <w:rFonts w:ascii="Times New Roman" w:hAnsi="Times New Roman"/>
          <w:bCs/>
          <w:sz w:val="28"/>
          <w:szCs w:val="28"/>
        </w:rPr>
        <w:t xml:space="preserve">» - </w:t>
      </w:r>
      <w:r w:rsidR="00613CBF" w:rsidRPr="00613CBF">
        <w:rPr>
          <w:rFonts w:ascii="Times New Roman" w:hAnsi="Times New Roman"/>
          <w:bCs/>
          <w:sz w:val="28"/>
          <w:szCs w:val="28"/>
        </w:rPr>
        <w:t>ответственное лицо</w:t>
      </w:r>
      <w:r w:rsidRPr="00613CBF">
        <w:rPr>
          <w:rFonts w:ascii="Times New Roman" w:hAnsi="Times New Roman"/>
          <w:bCs/>
          <w:sz w:val="28"/>
          <w:szCs w:val="28"/>
        </w:rPr>
        <w:t xml:space="preserve"> </w:t>
      </w:r>
      <w:r w:rsidR="009A4032">
        <w:rPr>
          <w:rFonts w:ascii="Times New Roman" w:hAnsi="Times New Roman"/>
          <w:bCs/>
          <w:sz w:val="28"/>
          <w:szCs w:val="28"/>
        </w:rPr>
        <w:t>Министерства</w:t>
      </w:r>
      <w:r w:rsidRPr="00613CBF">
        <w:rPr>
          <w:rFonts w:ascii="Times New Roman" w:hAnsi="Times New Roman"/>
          <w:bCs/>
          <w:sz w:val="28"/>
          <w:szCs w:val="28"/>
        </w:rPr>
        <w:t xml:space="preserve">, осуществляющее внедрение и контроль за исполнением в </w:t>
      </w:r>
      <w:r w:rsidR="009A4032">
        <w:rPr>
          <w:rFonts w:ascii="Times New Roman" w:hAnsi="Times New Roman"/>
          <w:bCs/>
          <w:sz w:val="28"/>
          <w:szCs w:val="28"/>
        </w:rPr>
        <w:t>Министерстве</w:t>
      </w:r>
      <w:r w:rsidRPr="00613CBF">
        <w:rPr>
          <w:rFonts w:ascii="Times New Roman" w:hAnsi="Times New Roman"/>
          <w:bCs/>
          <w:sz w:val="28"/>
          <w:szCs w:val="28"/>
        </w:rPr>
        <w:t xml:space="preserve"> антимонопольного комплаенса.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1.3. Цели антимонопольного комплаенса: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обеспечение соответствия деятельности </w:t>
      </w:r>
      <w:r w:rsidR="009A4032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требованиям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б) профилактика нарушения требований антимонопольного законодательства в деятельности </w:t>
      </w:r>
      <w:r w:rsidR="009A4032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>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1.4. Задачи антимонопольного комплаенса: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а) выявление рисков нарушений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б) управление рисками нарушения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в) контроль соответствия деятельности </w:t>
      </w:r>
      <w:r w:rsidR="009A4032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требованиям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г) оценка эффективности функционирования в </w:t>
      </w:r>
      <w:r w:rsidR="009A4032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 xml:space="preserve"> антимонопольного комплаенса.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1.5. Принципы антимонопольного комплаенса: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заинтересованность руководства </w:t>
      </w:r>
      <w:r w:rsidR="00D84E6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в эффективности функционирования антимонопольного комплаенса;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б) регулярность оценки рисков нарушения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в) обеспечение информационной открытости функционирования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</w:t>
      </w:r>
      <w:r w:rsidR="00613CBF">
        <w:rPr>
          <w:rFonts w:ascii="Times New Roman" w:hAnsi="Times New Roman"/>
          <w:bCs/>
          <w:sz w:val="28"/>
          <w:szCs w:val="28"/>
        </w:rPr>
        <w:t>Управлении</w:t>
      </w:r>
      <w:r w:rsidRPr="00B52F44">
        <w:rPr>
          <w:rFonts w:ascii="Times New Roman" w:hAnsi="Times New Roman"/>
          <w:bCs/>
          <w:sz w:val="28"/>
          <w:szCs w:val="28"/>
        </w:rPr>
        <w:t xml:space="preserve"> антимонопольного комплаенса;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г) непрерывность функционирования антимонопольного комплаенса в </w:t>
      </w:r>
      <w:r w:rsidR="00D84E6A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>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д) совершенствование антимонопольного комплаенса.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2. Организация антимонопольного комплаенса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2.1. Общий контроль организации антимонопольного комплаенса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и обеспечения его функционирования осуществляется </w:t>
      </w:r>
      <w:r w:rsidR="00D84E6A">
        <w:rPr>
          <w:rFonts w:ascii="Times New Roman" w:hAnsi="Times New Roman"/>
          <w:bCs/>
          <w:sz w:val="28"/>
          <w:szCs w:val="28"/>
        </w:rPr>
        <w:t xml:space="preserve">Министром спорта </w:t>
      </w:r>
      <w:r w:rsidR="00613CBF">
        <w:rPr>
          <w:rFonts w:ascii="Times New Roman" w:hAnsi="Times New Roman"/>
          <w:bCs/>
          <w:sz w:val="28"/>
          <w:szCs w:val="28"/>
        </w:rPr>
        <w:t xml:space="preserve"> Кабардино-Балкарской Республики</w:t>
      </w:r>
      <w:r w:rsidRPr="00B52F44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D84E6A">
        <w:rPr>
          <w:rFonts w:ascii="Times New Roman" w:hAnsi="Times New Roman"/>
          <w:bCs/>
          <w:sz w:val="28"/>
          <w:szCs w:val="28"/>
        </w:rPr>
        <w:t>Министр</w:t>
      </w:r>
      <w:r w:rsidRPr="00B52F44">
        <w:rPr>
          <w:rFonts w:ascii="Times New Roman" w:hAnsi="Times New Roman"/>
          <w:bCs/>
          <w:sz w:val="28"/>
          <w:szCs w:val="28"/>
        </w:rPr>
        <w:t>), который: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вводит в действие акт об антимонопольном комплаенсе, вносит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в него изменения, а также принимает внутренние документы, регламентирующие реализацию антимонопольного комплаенса;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lastRenderedPageBreak/>
        <w:t xml:space="preserve">б) применяет предусмотренные законодательством Российской Федерации меры ответственности за нарушение служащими </w:t>
      </w:r>
      <w:r w:rsidR="00D84E6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правил антимонопольного комплаенса;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в) рассматривает материалы, отчеты и результаты периодических оценок эффективности функционирования антимонопольного комплаенса и принимает меры, направленные на устранение выявленных недостатков;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г) осуществляет контроль за устранением выявленных недостатков антимонопольного комплаенса.</w:t>
      </w: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2.2. Функции </w:t>
      </w:r>
      <w:r w:rsidR="00613CBF">
        <w:rPr>
          <w:rFonts w:ascii="Times New Roman" w:hAnsi="Times New Roman"/>
          <w:bCs/>
          <w:sz w:val="28"/>
          <w:szCs w:val="28"/>
        </w:rPr>
        <w:t>ответственного лица</w:t>
      </w:r>
      <w:r w:rsidRPr="00B52F44">
        <w:rPr>
          <w:rFonts w:ascii="Times New Roman" w:hAnsi="Times New Roman"/>
          <w:bCs/>
          <w:sz w:val="28"/>
          <w:szCs w:val="28"/>
        </w:rPr>
        <w:t xml:space="preserve">, связанные с организацией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и функционированием антимонопольного комплаенса, возлагаются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на </w:t>
      </w:r>
      <w:r w:rsidR="00D84E6A">
        <w:rPr>
          <w:rFonts w:ascii="Times New Roman" w:hAnsi="Times New Roman"/>
          <w:bCs/>
          <w:sz w:val="28"/>
          <w:szCs w:val="28"/>
        </w:rPr>
        <w:t xml:space="preserve">заведующего сектором правового обеспечения А.А.Пазова </w:t>
      </w:r>
      <w:r w:rsidRPr="00084AC4">
        <w:rPr>
          <w:rFonts w:ascii="Times New Roman" w:hAnsi="Times New Roman"/>
          <w:bCs/>
          <w:sz w:val="28"/>
          <w:szCs w:val="28"/>
        </w:rPr>
        <w:t xml:space="preserve">(далее </w:t>
      </w:r>
      <w:r w:rsidR="00084AC4" w:rsidRPr="00084AC4">
        <w:rPr>
          <w:rFonts w:ascii="Times New Roman" w:hAnsi="Times New Roman"/>
          <w:bCs/>
          <w:sz w:val="28"/>
          <w:szCs w:val="28"/>
        </w:rPr>
        <w:t>–</w:t>
      </w:r>
      <w:r w:rsidR="00613CBF" w:rsidRPr="00084AC4">
        <w:rPr>
          <w:rFonts w:ascii="Times New Roman" w:hAnsi="Times New Roman"/>
          <w:bCs/>
          <w:sz w:val="28"/>
          <w:szCs w:val="28"/>
        </w:rPr>
        <w:t xml:space="preserve"> </w:t>
      </w:r>
      <w:r w:rsidR="00084AC4" w:rsidRPr="00084AC4">
        <w:rPr>
          <w:rFonts w:ascii="Times New Roman" w:hAnsi="Times New Roman"/>
          <w:bCs/>
          <w:sz w:val="28"/>
          <w:szCs w:val="28"/>
        </w:rPr>
        <w:t>ответственное лицо</w:t>
      </w:r>
      <w:r w:rsidRPr="00084AC4">
        <w:rPr>
          <w:rFonts w:ascii="Times New Roman" w:hAnsi="Times New Roman"/>
          <w:bCs/>
          <w:sz w:val="28"/>
          <w:szCs w:val="28"/>
        </w:rPr>
        <w:t xml:space="preserve">). </w:t>
      </w: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2.3. К компетенции </w:t>
      </w:r>
      <w:r w:rsidR="00084AC4">
        <w:rPr>
          <w:rFonts w:ascii="Times New Roman" w:hAnsi="Times New Roman"/>
          <w:bCs/>
          <w:sz w:val="28"/>
          <w:szCs w:val="28"/>
        </w:rPr>
        <w:t>ответственного лица</w:t>
      </w:r>
      <w:r w:rsidRPr="00B52F44">
        <w:rPr>
          <w:rFonts w:ascii="Times New Roman" w:hAnsi="Times New Roman"/>
          <w:bCs/>
          <w:sz w:val="28"/>
          <w:szCs w:val="28"/>
        </w:rPr>
        <w:t xml:space="preserve"> относятся следующие функции: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 xml:space="preserve">а) подготовка и представление </w:t>
      </w:r>
      <w:r w:rsidR="00D84E6A">
        <w:rPr>
          <w:rFonts w:ascii="Times New Roman" w:hAnsi="Times New Roman"/>
          <w:sz w:val="28"/>
          <w:szCs w:val="28"/>
          <w:lang w:eastAsia="ru-RU"/>
        </w:rPr>
        <w:t>Министру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 акта </w:t>
      </w:r>
      <w:r w:rsidR="00084AC4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об антимонопольном комплаенсе (внесении изменений </w:t>
      </w:r>
      <w:r w:rsidR="00E30E6C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в антимонопольный комплаенс), а также внутриведомственных документов </w:t>
      </w:r>
      <w:r w:rsidR="00D84E6A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024986">
        <w:rPr>
          <w:rFonts w:ascii="Times New Roman" w:hAnsi="Times New Roman"/>
          <w:sz w:val="28"/>
          <w:szCs w:val="28"/>
          <w:lang w:eastAsia="ru-RU"/>
        </w:rPr>
        <w:t>, регламентирующих процедуры антимонопольного комплаенса;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>б)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вероятности возникновения рисков нарушения антимонопольного законодательства;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 xml:space="preserve">в) выявление конфликта интересов в деятельности служащих </w:t>
      </w:r>
      <w:r w:rsidR="00E30E6C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и структурных подразделений </w:t>
      </w:r>
      <w:r w:rsidR="00D84E6A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="00084AC4">
        <w:rPr>
          <w:rFonts w:ascii="Times New Roman" w:hAnsi="Times New Roman"/>
          <w:sz w:val="28"/>
          <w:szCs w:val="28"/>
          <w:lang w:eastAsia="ru-RU"/>
        </w:rPr>
        <w:t>,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 разработка предложений </w:t>
      </w:r>
      <w:r w:rsidR="00E30E6C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>по их исключению;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 xml:space="preserve">г) консультирование служащих </w:t>
      </w:r>
      <w:r w:rsidR="00084AC4">
        <w:rPr>
          <w:rFonts w:ascii="Times New Roman" w:hAnsi="Times New Roman"/>
          <w:sz w:val="28"/>
          <w:szCs w:val="28"/>
          <w:lang w:eastAsia="ru-RU"/>
        </w:rPr>
        <w:t>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по вопросам, связанным с соблюдением антимонопольного законодательства </w:t>
      </w:r>
      <w:r w:rsidR="00E30E6C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>и антимонопольным комплаенсом;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>д) организация взаимодействия с</w:t>
      </w:r>
      <w:r w:rsidR="00084AC4">
        <w:rPr>
          <w:rFonts w:ascii="Times New Roman" w:hAnsi="Times New Roman"/>
          <w:sz w:val="28"/>
          <w:szCs w:val="28"/>
          <w:lang w:eastAsia="ru-RU"/>
        </w:rPr>
        <w:t>о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 структурными подразделениями </w:t>
      </w:r>
      <w:r w:rsidR="00D84E6A">
        <w:rPr>
          <w:rFonts w:ascii="Times New Roman" w:hAnsi="Times New Roman"/>
          <w:sz w:val="28"/>
          <w:szCs w:val="28"/>
          <w:lang w:eastAsia="ru-RU"/>
        </w:rPr>
        <w:t>Министерства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 по вопросам, связанным с антимонопольным комплаенсом;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 xml:space="preserve">е) разработка процедуры внутреннего расследования, связанного </w:t>
      </w:r>
      <w:r w:rsidR="00E30E6C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>с функционированием антимонопольного комплаенса;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 xml:space="preserve">ж) организация внутренних расследований, связанных </w:t>
      </w:r>
      <w:r w:rsidR="00E30E6C">
        <w:rPr>
          <w:rFonts w:ascii="Times New Roman" w:hAnsi="Times New Roman"/>
          <w:sz w:val="28"/>
          <w:szCs w:val="28"/>
          <w:lang w:eastAsia="ru-RU"/>
        </w:rPr>
        <w:br/>
      </w:r>
      <w:r w:rsidRPr="00024986">
        <w:rPr>
          <w:rFonts w:ascii="Times New Roman" w:hAnsi="Times New Roman"/>
          <w:sz w:val="28"/>
          <w:szCs w:val="28"/>
          <w:lang w:eastAsia="ru-RU"/>
        </w:rPr>
        <w:t>с функционированием антимонопольного комплаенса, и участие в них;</w:t>
      </w:r>
    </w:p>
    <w:p w:rsidR="007B462B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986">
        <w:rPr>
          <w:rFonts w:ascii="Times New Roman" w:hAnsi="Times New Roman"/>
          <w:sz w:val="28"/>
          <w:szCs w:val="28"/>
          <w:lang w:eastAsia="ru-RU"/>
        </w:rPr>
        <w:t>з)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7413B8" w:rsidRPr="001449C5" w:rsidRDefault="007B462B" w:rsidP="007413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13B8">
        <w:rPr>
          <w:rFonts w:ascii="Times New Roman" w:hAnsi="Times New Roman"/>
          <w:bCs/>
          <w:sz w:val="28"/>
          <w:szCs w:val="28"/>
        </w:rPr>
        <w:t xml:space="preserve">и) взаимодействие с коллегиальным органом - </w:t>
      </w:r>
      <w:r w:rsidR="007413B8">
        <w:rPr>
          <w:rFonts w:ascii="Times New Roman" w:hAnsi="Times New Roman"/>
          <w:bCs/>
          <w:sz w:val="28"/>
          <w:szCs w:val="28"/>
        </w:rPr>
        <w:t xml:space="preserve">комиссией по </w:t>
      </w:r>
      <w:r w:rsidR="007413B8" w:rsidRPr="001449C5">
        <w:rPr>
          <w:rFonts w:ascii="Times New Roman" w:hAnsi="Times New Roman"/>
          <w:bCs/>
          <w:sz w:val="28"/>
          <w:szCs w:val="28"/>
        </w:rPr>
        <w:t>оценк</w:t>
      </w:r>
      <w:r w:rsidR="007413B8">
        <w:rPr>
          <w:rFonts w:ascii="Times New Roman" w:hAnsi="Times New Roman"/>
          <w:bCs/>
          <w:sz w:val="28"/>
          <w:szCs w:val="28"/>
        </w:rPr>
        <w:t>е</w:t>
      </w:r>
      <w:r w:rsidR="007413B8" w:rsidRPr="001449C5">
        <w:rPr>
          <w:rFonts w:ascii="Times New Roman" w:hAnsi="Times New Roman"/>
          <w:bCs/>
          <w:sz w:val="28"/>
          <w:szCs w:val="28"/>
        </w:rPr>
        <w:t xml:space="preserve"> эффективности организации и функционирования системы внутреннего обеспечения соответствия требованиям антимонопольного законодательства в </w:t>
      </w:r>
      <w:r w:rsidR="00D84E6A">
        <w:rPr>
          <w:rFonts w:ascii="Times New Roman" w:hAnsi="Times New Roman"/>
          <w:bCs/>
          <w:sz w:val="28"/>
          <w:szCs w:val="28"/>
        </w:rPr>
        <w:t>Министерстве</w:t>
      </w:r>
      <w:r w:rsidR="007413B8">
        <w:rPr>
          <w:rFonts w:ascii="Times New Roman" w:hAnsi="Times New Roman"/>
          <w:bCs/>
          <w:sz w:val="28"/>
          <w:szCs w:val="28"/>
        </w:rPr>
        <w:t xml:space="preserve"> (далее – Комиссия)</w:t>
      </w:r>
      <w:r w:rsidR="007413B8" w:rsidRPr="001449C5">
        <w:rPr>
          <w:rFonts w:ascii="Times New Roman" w:hAnsi="Times New Roman"/>
          <w:bCs/>
          <w:sz w:val="28"/>
          <w:szCs w:val="28"/>
        </w:rPr>
        <w:t>.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) информирование </w:t>
      </w:r>
      <w:r w:rsidR="00D84E6A">
        <w:rPr>
          <w:rFonts w:ascii="Times New Roman" w:hAnsi="Times New Roman"/>
          <w:sz w:val="28"/>
          <w:szCs w:val="28"/>
          <w:lang w:eastAsia="ru-RU"/>
        </w:rPr>
        <w:t>Министра</w:t>
      </w:r>
      <w:r w:rsidRPr="00024986">
        <w:rPr>
          <w:rFonts w:ascii="Times New Roman" w:hAnsi="Times New Roman"/>
          <w:sz w:val="28"/>
          <w:szCs w:val="28"/>
          <w:lang w:eastAsia="ru-RU"/>
        </w:rPr>
        <w:t xml:space="preserve"> о внутренних документах, которые могут повлечь нарушение антимонопольного законодательства;</w:t>
      </w:r>
    </w:p>
    <w:p w:rsidR="007B462B" w:rsidRPr="00024986" w:rsidRDefault="007B462B" w:rsidP="007B46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л</w:t>
      </w:r>
      <w:r w:rsidRPr="00024986">
        <w:rPr>
          <w:rFonts w:ascii="Times New Roman" w:hAnsi="Times New Roman"/>
          <w:sz w:val="28"/>
          <w:szCs w:val="28"/>
          <w:lang w:eastAsia="ru-RU"/>
        </w:rPr>
        <w:t>) иные функции, связанные с функционированием антимонопольного комплаенса.</w:t>
      </w:r>
    </w:p>
    <w:p w:rsidR="007B462B" w:rsidRPr="008D74CF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 xml:space="preserve">2.4. Функции коллегиального органа, осуществляющего оценку эффективности организации и функционирования антимонопольного комплаенса возлагаются на </w:t>
      </w:r>
      <w:r w:rsidR="007413B8" w:rsidRPr="008D74CF">
        <w:rPr>
          <w:rFonts w:ascii="Times New Roman" w:hAnsi="Times New Roman"/>
          <w:bCs/>
          <w:sz w:val="28"/>
          <w:szCs w:val="28"/>
        </w:rPr>
        <w:t>Комиссию</w:t>
      </w:r>
      <w:r w:rsidRPr="008D74CF">
        <w:rPr>
          <w:rFonts w:ascii="Times New Roman" w:hAnsi="Times New Roman"/>
          <w:bCs/>
          <w:sz w:val="28"/>
          <w:szCs w:val="28"/>
        </w:rPr>
        <w:t>.</w:t>
      </w:r>
    </w:p>
    <w:p w:rsidR="007B462B" w:rsidRPr="008D74CF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>2.5. К функциям коллегиального органа (</w:t>
      </w:r>
      <w:r w:rsidR="008D74CF" w:rsidRPr="008D74CF">
        <w:rPr>
          <w:rFonts w:ascii="Times New Roman" w:hAnsi="Times New Roman"/>
          <w:bCs/>
          <w:sz w:val="28"/>
          <w:szCs w:val="28"/>
        </w:rPr>
        <w:t>Комисии</w:t>
      </w:r>
      <w:r w:rsidRPr="008D74CF">
        <w:rPr>
          <w:rFonts w:ascii="Times New Roman" w:hAnsi="Times New Roman"/>
          <w:bCs/>
          <w:sz w:val="28"/>
          <w:szCs w:val="28"/>
        </w:rPr>
        <w:t>) относятся:</w:t>
      </w:r>
    </w:p>
    <w:p w:rsidR="007B462B" w:rsidRPr="008D74CF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 xml:space="preserve">а) рассмотрение и оценка мероприятий </w:t>
      </w:r>
      <w:r w:rsidR="008D74CF" w:rsidRPr="008D74CF">
        <w:rPr>
          <w:rFonts w:ascii="Times New Roman" w:hAnsi="Times New Roman"/>
          <w:bCs/>
          <w:sz w:val="28"/>
          <w:szCs w:val="28"/>
        </w:rPr>
        <w:t>Управления</w:t>
      </w:r>
      <w:r w:rsidRPr="008D74CF">
        <w:rPr>
          <w:rFonts w:ascii="Times New Roman" w:hAnsi="Times New Roman"/>
          <w:bCs/>
          <w:sz w:val="28"/>
          <w:szCs w:val="28"/>
        </w:rPr>
        <w:t xml:space="preserve"> в части, касающейся функционирования антимонопольного комплаенса;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>б) рассмотрение и утверждение доклада об антимонопольном комплаенсе.</w:t>
      </w: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3. Выявление и оценка рисков нарушения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антимонопольного законодательства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3.1. В целях выявления рисков нарушения антимонопольного законодательства структурными подразделениями </w:t>
      </w:r>
      <w:r w:rsidR="00FA06CB">
        <w:rPr>
          <w:rFonts w:ascii="Times New Roman" w:hAnsi="Times New Roman"/>
          <w:bCs/>
          <w:sz w:val="28"/>
          <w:szCs w:val="28"/>
        </w:rPr>
        <w:t xml:space="preserve">Министерства </w:t>
      </w:r>
      <w:r w:rsidRPr="00B52F44">
        <w:rPr>
          <w:rFonts w:ascii="Times New Roman" w:hAnsi="Times New Roman"/>
          <w:bCs/>
          <w:sz w:val="28"/>
          <w:szCs w:val="28"/>
        </w:rPr>
        <w:t xml:space="preserve">в части своей компетенции на регулярной основе проводятся следующие мероприятия и результаты их реализации для обобщения и контроля направляются </w:t>
      </w:r>
      <w:r w:rsidR="009A6BAB">
        <w:rPr>
          <w:rFonts w:ascii="Times New Roman" w:hAnsi="Times New Roman"/>
          <w:bCs/>
          <w:sz w:val="28"/>
          <w:szCs w:val="28"/>
        </w:rPr>
        <w:t xml:space="preserve">ответственному лицу </w:t>
      </w:r>
      <w:r w:rsidRPr="00B52F44">
        <w:rPr>
          <w:rFonts w:ascii="Times New Roman" w:hAnsi="Times New Roman"/>
          <w:bCs/>
          <w:sz w:val="28"/>
          <w:szCs w:val="28"/>
        </w:rPr>
        <w:t>в срок не позднее 1 февраля года, следующего за отчетным: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анализ выявленных нарушений антимонопольного законодательства в деятельности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за предыдущие 3 года (наличие предостережений, предупреждений, штрафов, жалоб, возбужденных дел);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б) анализ нормативных правовых актов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>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в) анализ проектов нормативных правовых актов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>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г) мониторинг и анализ практики применения </w:t>
      </w:r>
      <w:r w:rsidR="00FA06CB">
        <w:rPr>
          <w:rFonts w:ascii="Times New Roman" w:hAnsi="Times New Roman"/>
          <w:bCs/>
          <w:sz w:val="28"/>
          <w:szCs w:val="28"/>
        </w:rPr>
        <w:t>Министерством</w:t>
      </w:r>
      <w:r w:rsidR="009A6BAB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>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д)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3.2. При проведении (не реже одного раза в год) структурными подразделениями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в части своей компетенции анализа выявленных нарушений антимонопольного законодательства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за предыдущие 3 года (наличие предостережений, предупреждений, штрафов, жалоб, возбужденных дел) должны реализовываться следующие мероприятия, а результаты их реализации для обобщения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и контроля направляться </w:t>
      </w:r>
      <w:r w:rsidR="009A6BAB">
        <w:rPr>
          <w:rFonts w:ascii="Times New Roman" w:hAnsi="Times New Roman"/>
          <w:bCs/>
          <w:sz w:val="28"/>
          <w:szCs w:val="28"/>
        </w:rPr>
        <w:t>ответственному лицу</w:t>
      </w:r>
      <w:r w:rsidRPr="002E7DDF">
        <w:rPr>
          <w:rFonts w:ascii="Times New Roman" w:hAnsi="Times New Roman"/>
          <w:bCs/>
          <w:sz w:val="28"/>
          <w:szCs w:val="28"/>
        </w:rPr>
        <w:t>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а) осуществление сбора сведений о наличии нарушений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б) составление перечня нарушений антимонопольного законодательства в </w:t>
      </w:r>
      <w:r w:rsidR="00FA06CB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 xml:space="preserve">, который содержит классифицированные по сферам деятельности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сведения о выявленных за последние 3 года нарушениях антимонопольного законодательства (отдельно по каждому нарушению) и информацию о </w:t>
      </w:r>
      <w:r w:rsidRPr="00B52F44">
        <w:rPr>
          <w:rFonts w:ascii="Times New Roman" w:hAnsi="Times New Roman"/>
          <w:bCs/>
          <w:sz w:val="28"/>
          <w:szCs w:val="28"/>
        </w:rPr>
        <w:lastRenderedPageBreak/>
        <w:t xml:space="preserve">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 устранению нарушения, а также о мерах, направленных </w:t>
      </w:r>
      <w:r w:rsidR="00FA06CB">
        <w:rPr>
          <w:rFonts w:ascii="Times New Roman" w:hAnsi="Times New Roman"/>
          <w:bCs/>
          <w:sz w:val="28"/>
          <w:szCs w:val="28"/>
        </w:rPr>
        <w:t>Министерством</w:t>
      </w:r>
      <w:r w:rsidRPr="00B52F44">
        <w:rPr>
          <w:rFonts w:ascii="Times New Roman" w:hAnsi="Times New Roman"/>
          <w:bCs/>
          <w:sz w:val="28"/>
          <w:szCs w:val="28"/>
        </w:rPr>
        <w:t xml:space="preserve"> на недопущение повторения нарушения.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>3.3. При проведении</w:t>
      </w:r>
      <w:r w:rsidRPr="00B52F44">
        <w:rPr>
          <w:rFonts w:ascii="Times New Roman" w:hAnsi="Times New Roman"/>
          <w:bCs/>
          <w:sz w:val="28"/>
          <w:szCs w:val="28"/>
        </w:rPr>
        <w:t xml:space="preserve"> (не реже одного раза в год) структурными подразделениями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в части своей компетенции анализа нормативных правовых актов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должны реализовываться следующие мероприятия, а результаты их реализации для обобщения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и контроля направляться </w:t>
      </w:r>
      <w:r w:rsidR="00E20193">
        <w:rPr>
          <w:rFonts w:ascii="Times New Roman" w:hAnsi="Times New Roman"/>
          <w:bCs/>
          <w:sz w:val="28"/>
          <w:szCs w:val="28"/>
        </w:rPr>
        <w:t>ответственному лицу</w:t>
      </w:r>
      <w:r w:rsidRPr="00B52F44">
        <w:rPr>
          <w:rFonts w:ascii="Times New Roman" w:hAnsi="Times New Roman"/>
          <w:bCs/>
          <w:sz w:val="28"/>
          <w:szCs w:val="28"/>
        </w:rPr>
        <w:t>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разработка и размещение на официальном сайте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информационно-телекоммуникационной сети </w:t>
      </w:r>
      <w:r w:rsidR="00E20193">
        <w:rPr>
          <w:rFonts w:ascii="Times New Roman" w:hAnsi="Times New Roman"/>
          <w:bCs/>
          <w:sz w:val="28"/>
          <w:szCs w:val="28"/>
        </w:rPr>
        <w:t>«</w:t>
      </w:r>
      <w:r w:rsidRPr="00B52F44">
        <w:rPr>
          <w:rFonts w:ascii="Times New Roman" w:hAnsi="Times New Roman"/>
          <w:bCs/>
          <w:sz w:val="28"/>
          <w:szCs w:val="28"/>
        </w:rPr>
        <w:t>Интернет</w:t>
      </w:r>
      <w:r w:rsidR="00E20193">
        <w:rPr>
          <w:rFonts w:ascii="Times New Roman" w:hAnsi="Times New Roman"/>
          <w:bCs/>
          <w:sz w:val="28"/>
          <w:szCs w:val="28"/>
        </w:rPr>
        <w:t>»</w:t>
      </w:r>
      <w:r w:rsidRPr="00B52F44">
        <w:rPr>
          <w:rFonts w:ascii="Times New Roman" w:hAnsi="Times New Roman"/>
          <w:bCs/>
          <w:sz w:val="28"/>
          <w:szCs w:val="28"/>
        </w:rPr>
        <w:t xml:space="preserve">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(далее - официальный сайт) исчерпывающего перечня нормативных правовых актов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(далее - перечень актов) с приложением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к перечню актов текстов указанных актов, за исключением актов, содержащих сведения, относящиеся к охраняемой законом тайне;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б) размещение на официальном сайте уведомления о начале сбора замечаний и предложений организаций и граждан по перечню актов;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в) осуществление сбора и проведение анализа представленных замечаний и предложений организаций и граждан по перечню актов;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г) направление </w:t>
      </w:r>
      <w:r w:rsidR="00E20193">
        <w:rPr>
          <w:rFonts w:ascii="Times New Roman" w:hAnsi="Times New Roman"/>
          <w:bCs/>
          <w:sz w:val="28"/>
          <w:szCs w:val="28"/>
        </w:rPr>
        <w:t>ответственному лицу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доклада с обоснованием целесообразности (нецелесообразности) внесения изменений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нормативные правовые акты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для подготовки сводного доклада по указанному вопросу и его представления руководству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>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3.4. При проведении анализа проектов нормативных правовых актов структурными подразделениями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в части своей компетенции должны реализовываться следующие мероприятия, </w:t>
      </w:r>
      <w:r w:rsidR="00E20193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а результаты их реализации для обобщения и контроля направляться </w:t>
      </w:r>
      <w:r w:rsidR="00E20193">
        <w:rPr>
          <w:rFonts w:ascii="Times New Roman" w:hAnsi="Times New Roman"/>
          <w:bCs/>
          <w:sz w:val="28"/>
          <w:szCs w:val="28"/>
        </w:rPr>
        <w:br/>
        <w:t>ответственному лицу</w:t>
      </w:r>
      <w:r w:rsidRPr="002E7DDF">
        <w:rPr>
          <w:rFonts w:ascii="Times New Roman" w:hAnsi="Times New Roman"/>
          <w:bCs/>
          <w:sz w:val="28"/>
          <w:szCs w:val="28"/>
        </w:rPr>
        <w:t>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а) размещение на официальном сайте проекта нормативного правового акта с необходимым обоснованием реализации предлагаемых решений, в том числе их влияния на конкуренцию;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б) осуществление сбора и проведение оценки поступивших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от организаций и граждан замечаний и предложений по проекту нормативного правового акта.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3.5. При проведении мониторинга и анализа практики применения антимонопольного законодательства в </w:t>
      </w:r>
      <w:r w:rsidR="00FA06CB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 xml:space="preserve"> </w:t>
      </w:r>
      <w:r w:rsidR="00E20193">
        <w:rPr>
          <w:rFonts w:ascii="Times New Roman" w:hAnsi="Times New Roman"/>
          <w:bCs/>
          <w:sz w:val="28"/>
          <w:szCs w:val="28"/>
        </w:rPr>
        <w:t>ответственным лицом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совместно со структурными подразделениями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должны реализовываться следующие мероприятия: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осуществление на постоянной основе сбора сведений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о правоприменительной практике в </w:t>
      </w:r>
      <w:r w:rsidR="00FA06CB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>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lastRenderedPageBreak/>
        <w:t xml:space="preserve">б) подготовка по итогам сбора информации аналитической справки об изменениях и основных аспектах правоприменительной практики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</w:t>
      </w:r>
      <w:r w:rsidR="00FA06CB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>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в) проведение (не реже одного раза в год) рабочих совещаний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с приглашением представителей антимонопольного органа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по обсуждению результатов правоприменительной практики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</w:t>
      </w:r>
      <w:r w:rsidR="00FA06CB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>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3.6. При выявлении рисков нарушения антимонопольного законодательства</w:t>
      </w:r>
      <w:r w:rsidRPr="00E20193">
        <w:rPr>
          <w:rFonts w:ascii="Times New Roman" w:hAnsi="Times New Roman"/>
          <w:bCs/>
          <w:sz w:val="28"/>
          <w:szCs w:val="28"/>
        </w:rPr>
        <w:t xml:space="preserve"> </w:t>
      </w:r>
      <w:r w:rsidR="00E20193">
        <w:rPr>
          <w:rFonts w:ascii="Times New Roman" w:hAnsi="Times New Roman"/>
          <w:bCs/>
          <w:sz w:val="28"/>
          <w:szCs w:val="28"/>
        </w:rPr>
        <w:t>ответственным лицом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совместно со структурными подразделениями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должна проводиться оценка таких рисков с учетом следующих показателей: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отрицательное влияние на отношение институтов гражданского общества к деятельности </w:t>
      </w:r>
      <w:r w:rsidR="00FA06CB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по развитию конкуренции;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б)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в) возбуждение дела о нарушении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г) привлечение к административной ответственности в виде наложения штрафов на должностных лиц или в виде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их дисквалификации.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3.7. Распределение выявленных рисков нарушения антимонопольного законодательства по уровням </w:t>
      </w:r>
      <w:r w:rsidR="00B3477B">
        <w:rPr>
          <w:rFonts w:ascii="Times New Roman" w:hAnsi="Times New Roman"/>
          <w:bCs/>
          <w:sz w:val="28"/>
          <w:szCs w:val="28"/>
        </w:rPr>
        <w:t>ответственным лицом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осущ</w:t>
      </w:r>
      <w:r w:rsidRPr="00B52F44">
        <w:rPr>
          <w:rFonts w:ascii="Times New Roman" w:hAnsi="Times New Roman"/>
          <w:bCs/>
          <w:sz w:val="28"/>
          <w:szCs w:val="28"/>
        </w:rPr>
        <w:t xml:space="preserve">ествляется в соответствии с методическими </w:t>
      </w:r>
      <w:hyperlink r:id="rId11" w:history="1">
        <w:r w:rsidRPr="00152AB0">
          <w:rPr>
            <w:rFonts w:ascii="Times New Roman" w:hAnsi="Times New Roman"/>
            <w:bCs/>
            <w:sz w:val="28"/>
            <w:szCs w:val="28"/>
          </w:rPr>
          <w:t>рекомендациями</w:t>
        </w:r>
      </w:hyperlink>
      <w:r w:rsidRPr="00152AB0">
        <w:rPr>
          <w:rFonts w:ascii="Times New Roman" w:hAnsi="Times New Roman"/>
          <w:bCs/>
          <w:sz w:val="28"/>
          <w:szCs w:val="28"/>
        </w:rPr>
        <w:t>,</w:t>
      </w:r>
      <w:r w:rsidRPr="00B52F44">
        <w:rPr>
          <w:rFonts w:ascii="Times New Roman" w:hAnsi="Times New Roman"/>
          <w:bCs/>
          <w:sz w:val="28"/>
          <w:szCs w:val="28"/>
        </w:rPr>
        <w:t xml:space="preserve"> утвержденными распоряжением Правительства Российской Федерации </w:t>
      </w:r>
      <w:r w:rsidR="00B3477B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от 18 октября 2018 г. </w:t>
      </w:r>
      <w:r w:rsidR="00B3477B">
        <w:rPr>
          <w:rFonts w:ascii="Times New Roman" w:hAnsi="Times New Roman"/>
          <w:bCs/>
          <w:sz w:val="28"/>
          <w:szCs w:val="28"/>
        </w:rPr>
        <w:t>№</w:t>
      </w:r>
      <w:r w:rsidRPr="00B52F44">
        <w:rPr>
          <w:rFonts w:ascii="Times New Roman" w:hAnsi="Times New Roman"/>
          <w:bCs/>
          <w:sz w:val="28"/>
          <w:szCs w:val="28"/>
        </w:rPr>
        <w:t xml:space="preserve"> 2258-р.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3.8. На основе проведенной оценки рисков нарушения антимонопольного законодательства </w:t>
      </w:r>
      <w:r w:rsidR="00B3477B">
        <w:rPr>
          <w:rFonts w:ascii="Times New Roman" w:hAnsi="Times New Roman"/>
          <w:bCs/>
          <w:sz w:val="28"/>
          <w:szCs w:val="28"/>
        </w:rPr>
        <w:t>ответственным лицом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совместно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со структурными подразделениями </w:t>
      </w:r>
      <w:r w:rsidR="001A230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составляется описание рисков, в которое также включается оценка причин и условий возникновения рисков.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3.9. Информация о проведении выявления и оценки рисков нарушения антимонопольного законодательства включается в доклад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об антимонопольном комплаенсе.</w:t>
      </w: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4. Мероприятия по снижению рисков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нарушения антимонопольного законодательства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4.1. В целях снижения рисков нарушения антимонопольного законодательства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3477B">
        <w:rPr>
          <w:rFonts w:ascii="Times New Roman" w:hAnsi="Times New Roman"/>
          <w:bCs/>
          <w:sz w:val="28"/>
          <w:szCs w:val="28"/>
        </w:rPr>
        <w:t>ответственным лицом</w:t>
      </w:r>
      <w:r>
        <w:rPr>
          <w:rFonts w:ascii="Times New Roman" w:hAnsi="Times New Roman"/>
          <w:bCs/>
          <w:sz w:val="28"/>
          <w:szCs w:val="28"/>
        </w:rPr>
        <w:t>,</w:t>
      </w:r>
      <w:r w:rsidRPr="00B52F44">
        <w:rPr>
          <w:rFonts w:ascii="Times New Roman" w:hAnsi="Times New Roman"/>
          <w:bCs/>
          <w:sz w:val="28"/>
          <w:szCs w:val="28"/>
        </w:rPr>
        <w:t xml:space="preserve"> совместно со структурными подразделениями </w:t>
      </w:r>
      <w:r w:rsidR="001A230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должны разрабатываться (не реже одного раза в год) мероприятия по снижению рисков нарушения антимонопольного законодательства (план мероприятий).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4.2. </w:t>
      </w:r>
      <w:r w:rsidR="00B3477B">
        <w:rPr>
          <w:rFonts w:ascii="Times New Roman" w:hAnsi="Times New Roman"/>
          <w:bCs/>
          <w:sz w:val="28"/>
          <w:szCs w:val="28"/>
        </w:rPr>
        <w:t>Ответственное лицо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совместно со структурными подразделениями </w:t>
      </w:r>
      <w:r w:rsidR="001A230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должен осуществлять мониторинг </w:t>
      </w:r>
      <w:r w:rsidRPr="00B52F44">
        <w:rPr>
          <w:rFonts w:ascii="Times New Roman" w:hAnsi="Times New Roman"/>
          <w:bCs/>
          <w:sz w:val="28"/>
          <w:szCs w:val="28"/>
        </w:rPr>
        <w:lastRenderedPageBreak/>
        <w:t>исполнения мероприятий по снижению рисков нарушения антимонопольного законодательства.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4.3. Информация об исполнении мероприятий по снижению рисков нарушения антимонопольного законодательства должна включаться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>в доклад об антимонопольном комплаенсе.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5. Оценка эффективности функционирования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в </w:t>
      </w:r>
      <w:r w:rsidR="001A230A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 xml:space="preserve"> антимонопольного комплаенса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5.1. В целях оценки эффективности функционирования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</w:t>
      </w:r>
      <w:r w:rsidR="001A230A">
        <w:rPr>
          <w:rFonts w:ascii="Times New Roman" w:hAnsi="Times New Roman"/>
          <w:bCs/>
          <w:sz w:val="28"/>
          <w:szCs w:val="28"/>
        </w:rPr>
        <w:t xml:space="preserve">Министерстве </w:t>
      </w:r>
      <w:r w:rsidRPr="00B52F44">
        <w:rPr>
          <w:rFonts w:ascii="Times New Roman" w:hAnsi="Times New Roman"/>
          <w:bCs/>
          <w:sz w:val="28"/>
          <w:szCs w:val="28"/>
        </w:rPr>
        <w:t xml:space="preserve">антимонопольного комплаенса должны устанавливаться ключевые показатели как </w:t>
      </w:r>
      <w:r w:rsidRPr="002E7DDF">
        <w:rPr>
          <w:rFonts w:ascii="Times New Roman" w:hAnsi="Times New Roman"/>
          <w:bCs/>
          <w:sz w:val="28"/>
          <w:szCs w:val="28"/>
        </w:rPr>
        <w:t xml:space="preserve">для </w:t>
      </w:r>
      <w:r w:rsidR="00B3477B">
        <w:rPr>
          <w:rFonts w:ascii="Times New Roman" w:hAnsi="Times New Roman"/>
          <w:bCs/>
          <w:sz w:val="28"/>
          <w:szCs w:val="28"/>
        </w:rPr>
        <w:t>ответственного лица</w:t>
      </w:r>
      <w:r w:rsidRPr="00B52F44">
        <w:rPr>
          <w:rFonts w:ascii="Times New Roman" w:hAnsi="Times New Roman"/>
          <w:bCs/>
          <w:sz w:val="28"/>
          <w:szCs w:val="28"/>
        </w:rPr>
        <w:t xml:space="preserve">, структурных подразделений </w:t>
      </w:r>
      <w:r w:rsidR="001A230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, так и для </w:t>
      </w:r>
      <w:r w:rsidR="001A230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в целом.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5.2. Методика расчета ключевых показателей эффективности функционирования комплаенса должна разрабатываться федеральным антимонопольным органом.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5.3. </w:t>
      </w:r>
      <w:r w:rsidR="00B3477B">
        <w:rPr>
          <w:rFonts w:ascii="Times New Roman" w:hAnsi="Times New Roman"/>
          <w:bCs/>
          <w:sz w:val="28"/>
          <w:szCs w:val="28"/>
        </w:rPr>
        <w:t>Ответственное лицо</w:t>
      </w:r>
      <w:r w:rsidRPr="002E7DDF">
        <w:rPr>
          <w:rFonts w:ascii="Times New Roman" w:hAnsi="Times New Roman"/>
          <w:bCs/>
          <w:sz w:val="28"/>
          <w:szCs w:val="28"/>
        </w:rPr>
        <w:t xml:space="preserve"> </w:t>
      </w:r>
      <w:r w:rsidRPr="00B52F44">
        <w:rPr>
          <w:rFonts w:ascii="Times New Roman" w:hAnsi="Times New Roman"/>
          <w:bCs/>
          <w:sz w:val="28"/>
          <w:szCs w:val="28"/>
        </w:rPr>
        <w:t xml:space="preserve">совместно со структурными подразделениями </w:t>
      </w:r>
      <w:r w:rsidR="001A230A">
        <w:rPr>
          <w:rFonts w:ascii="Times New Roman" w:hAnsi="Times New Roman"/>
          <w:bCs/>
          <w:sz w:val="28"/>
          <w:szCs w:val="28"/>
        </w:rPr>
        <w:t>Министерства</w:t>
      </w:r>
      <w:r w:rsidRPr="00B52F44">
        <w:rPr>
          <w:rFonts w:ascii="Times New Roman" w:hAnsi="Times New Roman"/>
          <w:bCs/>
          <w:sz w:val="28"/>
          <w:szCs w:val="28"/>
        </w:rPr>
        <w:t xml:space="preserve"> должен проводить (не реже одного раза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B52F44">
        <w:rPr>
          <w:rFonts w:ascii="Times New Roman" w:hAnsi="Times New Roman"/>
          <w:bCs/>
          <w:sz w:val="28"/>
          <w:szCs w:val="28"/>
        </w:rPr>
        <w:t xml:space="preserve">в год) оценку достижения ключевых показателей эффективности антимонопольного комплаенса в </w:t>
      </w:r>
      <w:r w:rsidR="001A230A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>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5.4. Информация о достижении ключевых показателей эффективности функционирования в </w:t>
      </w:r>
      <w:r w:rsidR="001A230A">
        <w:rPr>
          <w:rFonts w:ascii="Times New Roman" w:hAnsi="Times New Roman"/>
          <w:bCs/>
          <w:sz w:val="28"/>
          <w:szCs w:val="28"/>
        </w:rPr>
        <w:t>Министерстве</w:t>
      </w:r>
      <w:r w:rsidRPr="00B52F44">
        <w:rPr>
          <w:rFonts w:ascii="Times New Roman" w:hAnsi="Times New Roman"/>
          <w:bCs/>
          <w:sz w:val="28"/>
          <w:szCs w:val="28"/>
        </w:rPr>
        <w:t xml:space="preserve"> антимонопольного комплаенса должна включаться в доклад об антимонопольном комплаенсе.</w:t>
      </w:r>
    </w:p>
    <w:p w:rsidR="007B462B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6. Доклад об антимонопольном комплаенсе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6.1. Доклад об антимонопольном комплаенсе должен содержать информацию: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а) о результатах проведенной оценки рисков нарушения </w:t>
      </w:r>
      <w:r w:rsidR="001A230A">
        <w:rPr>
          <w:rFonts w:ascii="Times New Roman" w:hAnsi="Times New Roman"/>
          <w:bCs/>
          <w:sz w:val="28"/>
          <w:szCs w:val="28"/>
        </w:rPr>
        <w:t>Министерством</w:t>
      </w:r>
      <w:r w:rsidRPr="00B52F44">
        <w:rPr>
          <w:rFonts w:ascii="Times New Roman" w:hAnsi="Times New Roman"/>
          <w:bCs/>
          <w:sz w:val="28"/>
          <w:szCs w:val="28"/>
        </w:rPr>
        <w:t xml:space="preserve">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 xml:space="preserve">б) об исполнении мероприятий по снижению рисков нарушения </w:t>
      </w:r>
      <w:r w:rsidR="001A230A">
        <w:rPr>
          <w:rFonts w:ascii="Times New Roman" w:hAnsi="Times New Roman"/>
          <w:bCs/>
          <w:sz w:val="28"/>
          <w:szCs w:val="28"/>
        </w:rPr>
        <w:t>Министерством</w:t>
      </w:r>
      <w:r w:rsidRPr="00B52F44">
        <w:rPr>
          <w:rFonts w:ascii="Times New Roman" w:hAnsi="Times New Roman"/>
          <w:bCs/>
          <w:sz w:val="28"/>
          <w:szCs w:val="28"/>
        </w:rPr>
        <w:t xml:space="preserve"> антимонопольного законодательства;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52F44">
        <w:rPr>
          <w:rFonts w:ascii="Times New Roman" w:hAnsi="Times New Roman"/>
          <w:bCs/>
          <w:sz w:val="28"/>
          <w:szCs w:val="28"/>
        </w:rPr>
        <w:t>в) о достижении ключевых показателей эффективности антимонопольного комплаенса.</w:t>
      </w:r>
    </w:p>
    <w:p w:rsidR="007B462B" w:rsidRPr="008D74CF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 xml:space="preserve">6.2. Доклад об антимонопольном комплаенсе должен представляться в </w:t>
      </w:r>
      <w:r w:rsidR="008D74CF" w:rsidRPr="008D74CF">
        <w:rPr>
          <w:rFonts w:ascii="Times New Roman" w:hAnsi="Times New Roman"/>
          <w:bCs/>
          <w:sz w:val="28"/>
          <w:szCs w:val="28"/>
        </w:rPr>
        <w:t>Комиссию</w:t>
      </w:r>
      <w:r w:rsidRPr="008D74CF">
        <w:rPr>
          <w:rFonts w:ascii="Times New Roman" w:hAnsi="Times New Roman"/>
          <w:bCs/>
          <w:sz w:val="28"/>
          <w:szCs w:val="28"/>
        </w:rPr>
        <w:t xml:space="preserve"> на утверждение (не реже одного раза в год) </w:t>
      </w:r>
      <w:r w:rsidR="008D74CF" w:rsidRPr="008D74CF">
        <w:rPr>
          <w:rFonts w:ascii="Times New Roman" w:hAnsi="Times New Roman"/>
          <w:bCs/>
          <w:sz w:val="28"/>
          <w:szCs w:val="28"/>
        </w:rPr>
        <w:t>ответственным лицом</w:t>
      </w:r>
      <w:r w:rsidRPr="008D74CF">
        <w:rPr>
          <w:rFonts w:ascii="Times New Roman" w:hAnsi="Times New Roman"/>
          <w:bCs/>
          <w:sz w:val="28"/>
          <w:szCs w:val="28"/>
        </w:rPr>
        <w:t xml:space="preserve"> совместно со структурными подразделениями </w:t>
      </w:r>
      <w:r w:rsidR="00E30E6C">
        <w:rPr>
          <w:rFonts w:ascii="Times New Roman" w:hAnsi="Times New Roman"/>
          <w:bCs/>
          <w:sz w:val="28"/>
          <w:szCs w:val="28"/>
        </w:rPr>
        <w:br/>
      </w:r>
      <w:r w:rsidRPr="008D74CF">
        <w:rPr>
          <w:rFonts w:ascii="Times New Roman" w:hAnsi="Times New Roman"/>
          <w:bCs/>
          <w:sz w:val="28"/>
          <w:szCs w:val="28"/>
        </w:rPr>
        <w:t>в срок не позднее 1 апреля года, следующего за отчетным.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D74CF">
        <w:rPr>
          <w:rFonts w:ascii="Times New Roman" w:hAnsi="Times New Roman"/>
          <w:bCs/>
          <w:sz w:val="28"/>
          <w:szCs w:val="28"/>
        </w:rPr>
        <w:t xml:space="preserve">6.3. Доклад об антимонопольном комплаенсе, утвержденный </w:t>
      </w:r>
      <w:r w:rsidR="008D74CF" w:rsidRPr="008D74CF">
        <w:rPr>
          <w:rFonts w:ascii="Times New Roman" w:hAnsi="Times New Roman"/>
          <w:bCs/>
          <w:sz w:val="28"/>
          <w:szCs w:val="28"/>
        </w:rPr>
        <w:t>Комиссией</w:t>
      </w:r>
      <w:r w:rsidRPr="008D74CF">
        <w:rPr>
          <w:rFonts w:ascii="Times New Roman" w:hAnsi="Times New Roman"/>
          <w:bCs/>
          <w:sz w:val="28"/>
          <w:szCs w:val="28"/>
        </w:rPr>
        <w:t>, должен размещаться на официальном сайте.</w:t>
      </w:r>
    </w:p>
    <w:p w:rsidR="007B462B" w:rsidRPr="00B52F44" w:rsidRDefault="007B462B" w:rsidP="007B4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1036D" w:rsidRDefault="00C1036D"/>
    <w:sectPr w:rsidR="00C1036D" w:rsidSect="00E30E6C">
      <w:headerReference w:type="default" r:id="rId12"/>
      <w:pgSz w:w="11906" w:h="16838"/>
      <w:pgMar w:top="709" w:right="1274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3DC" w:rsidRDefault="008A73DC" w:rsidP="008D74CF">
      <w:pPr>
        <w:spacing w:after="0" w:line="240" w:lineRule="auto"/>
      </w:pPr>
      <w:r>
        <w:separator/>
      </w:r>
    </w:p>
  </w:endnote>
  <w:endnote w:type="continuationSeparator" w:id="0">
    <w:p w:rsidR="008A73DC" w:rsidRDefault="008A73DC" w:rsidP="008D7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3DC" w:rsidRDefault="008A73DC" w:rsidP="008D74CF">
      <w:pPr>
        <w:spacing w:after="0" w:line="240" w:lineRule="auto"/>
      </w:pPr>
      <w:r>
        <w:separator/>
      </w:r>
    </w:p>
  </w:footnote>
  <w:footnote w:type="continuationSeparator" w:id="0">
    <w:p w:rsidR="008A73DC" w:rsidRDefault="008A73DC" w:rsidP="008D7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6746615"/>
      <w:docPartObj>
        <w:docPartGallery w:val="Page Numbers (Top of Page)"/>
        <w:docPartUnique/>
      </w:docPartObj>
    </w:sdtPr>
    <w:sdtEndPr/>
    <w:sdtContent>
      <w:p w:rsidR="008D74CF" w:rsidRDefault="008D7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79E">
          <w:rPr>
            <w:noProof/>
          </w:rPr>
          <w:t>2</w:t>
        </w:r>
        <w:r>
          <w:fldChar w:fldCharType="end"/>
        </w:r>
      </w:p>
    </w:sdtContent>
  </w:sdt>
  <w:p w:rsidR="008D74CF" w:rsidRDefault="008D7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14"/>
    <w:rsid w:val="00011A08"/>
    <w:rsid w:val="00084AC4"/>
    <w:rsid w:val="000D55A7"/>
    <w:rsid w:val="001A230A"/>
    <w:rsid w:val="002C379E"/>
    <w:rsid w:val="003F2E19"/>
    <w:rsid w:val="00513F18"/>
    <w:rsid w:val="00613CBF"/>
    <w:rsid w:val="007413B8"/>
    <w:rsid w:val="007B462B"/>
    <w:rsid w:val="007C6D14"/>
    <w:rsid w:val="008A73DC"/>
    <w:rsid w:val="008D74CF"/>
    <w:rsid w:val="009A4032"/>
    <w:rsid w:val="009A6BAB"/>
    <w:rsid w:val="00B3477B"/>
    <w:rsid w:val="00BF5AF4"/>
    <w:rsid w:val="00C1036D"/>
    <w:rsid w:val="00CE76F1"/>
    <w:rsid w:val="00D84E6A"/>
    <w:rsid w:val="00E20193"/>
    <w:rsid w:val="00E30E6C"/>
    <w:rsid w:val="00FA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775009"/>
  <w15:docId w15:val="{DBECE94B-00B9-4B99-B55D-6EE52825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62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62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7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74CF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8D7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74CF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18488DF95ED7FDDE48B8B76F52CDC2E48D419C82A2536FDA3AFC1A8B02A6E85062972944A9798154FDC6TA1E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18488DF95ED7FDDE48B8B76F52CDC2E5854F9A81F0046D8B6FF21F8352FCF8542BC32C5BA1659F54E3C5A72FT813O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18488DF95ED7FDDE48B8B76F52CDC2E48D439E80F2046D8B6FF21F8352FCF8542BC32C5BA1659F54E3C5A72FT813O" TargetMode="External"/><Relationship Id="rId11" Type="http://schemas.openxmlformats.org/officeDocument/2006/relationships/hyperlink" Target="consultantplus://offline/ref=0718488DF95ED7FDDE48B8B76F52CDC2E5854F9A81F0046D8B6FF21F8352FCF8462B9B205AA97B9F5EF693F66ADF6CF911FC0F855E5E5616T516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0718488DF95ED7FDDE48B8B76F52CDC2E584439981F3046D8B6FF21F8352FCF8542BC32C5BA1659F54E3C5A72FT813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718488DF95ED7FDDE48B8B76F52CDC2E58546918BF6046D8B6FF21F8352FCF8542BC32C5BA1659F54E3C5A72FT813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7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Кочесоков</dc:creator>
  <cp:keywords/>
  <dc:description/>
  <cp:lastModifiedBy>Diana</cp:lastModifiedBy>
  <cp:revision>12</cp:revision>
  <cp:lastPrinted>2019-02-28T06:11:00Z</cp:lastPrinted>
  <dcterms:created xsi:type="dcterms:W3CDTF">2019-02-27T06:33:00Z</dcterms:created>
  <dcterms:modified xsi:type="dcterms:W3CDTF">2020-01-30T14:36:00Z</dcterms:modified>
</cp:coreProperties>
</file>